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D9" w:rsidRPr="008D27D9" w:rsidRDefault="008D27D9" w:rsidP="008D27D9">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D27D9">
        <w:rPr>
          <w:rFonts w:ascii="Times New Roman" w:eastAsia="Times New Roman" w:hAnsi="Times New Roman" w:cs="Times New Roman"/>
          <w:b/>
          <w:bCs/>
          <w:sz w:val="24"/>
          <w:szCs w:val="24"/>
          <w:lang w:eastAsia="ru-RU"/>
        </w:rPr>
        <w:t>Статья 220. Имущественные налоговые вычеты</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2. Имущественный налоговый вычет, предусмотренный подпунктом 1 пункта 1 настоящей статьи, предоставляется с учетом следующих особенностей: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1) имущественный налоговый вычет предоставляется:</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lastRenderedPageBreak/>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В состав расходов налогоплательщика, связанных с приобретением доли в уставном капитале общества, могут включаться следующие расходы:</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приобретение или увеличение доли в уставном капитале общества.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lastRenderedPageBreak/>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или контролирующим лицом иностранной структуры без образования юридического лица), доходы которого в виде такого имущества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на сумму, равную стоимости имущества по данным учета ликвидированной организации на дату ее ликвидации, указанной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4) положения подпункта 1 пункта 1 настоящей статьи не применяются в отношении доходов, полученных:</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от продажи недвижимого имущества и (или) транспортных средств, которые использовались в предпринимательской деятельности;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от реализации ценных бумаг;</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3. Имущественный налоговый вычет, предусмотренный подпунктом 3 пункта 1 настоящей статьи, предоставляется с учетом следующих особенностей: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lastRenderedPageBreak/>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разработку проектной и сметной документации;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приобретение строительных и отделочных материалов;</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приобретение жилого дома или доли (долей) в нем, в том числе не оконченного строительством;</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4) в фактические расходы на приобретение квартиры, комнаты или доли (долей) в них могут включаться следующие расходы:</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приобретение отделочных материалов;</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lastRenderedPageBreak/>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6) для подтверждения права на имущественный налоговый вычет налогоплательщик представляет в налоговый орган:</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 xml:space="preserve">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w:t>
      </w:r>
      <w:r w:rsidRPr="008D27D9">
        <w:rPr>
          <w:rFonts w:ascii="Times New Roman" w:eastAsia="Times New Roman" w:hAnsi="Times New Roman" w:cs="Times New Roman"/>
          <w:color w:val="000000"/>
          <w:sz w:val="24"/>
          <w:szCs w:val="24"/>
          <w:lang w:eastAsia="ru-RU"/>
        </w:rPr>
        <w:lastRenderedPageBreak/>
        <w:t>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 xml:space="preserve">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w:t>
      </w:r>
      <w:bookmarkStart w:id="0" w:name="_GoBack"/>
      <w:bookmarkEnd w:id="0"/>
      <w:r w:rsidRPr="008D27D9">
        <w:rPr>
          <w:rFonts w:ascii="Times New Roman" w:eastAsia="Times New Roman" w:hAnsi="Times New Roman" w:cs="Times New Roman"/>
          <w:color w:val="000000"/>
          <w:sz w:val="24"/>
          <w:szCs w:val="24"/>
          <w:lang w:eastAsia="ru-RU"/>
        </w:rPr>
        <w:t>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lastRenderedPageBreak/>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8D27D9" w:rsidRPr="008D27D9" w:rsidRDefault="008D27D9" w:rsidP="008D27D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8D27D9">
        <w:rPr>
          <w:rFonts w:ascii="Times New Roman" w:eastAsia="Times New Roman" w:hAnsi="Times New Roman" w:cs="Times New Roman"/>
          <w:color w:val="000000"/>
          <w:sz w:val="24"/>
          <w:szCs w:val="24"/>
          <w:lang w:eastAsia="ru-RU"/>
        </w:rPr>
        <w:t>11. Повторное предоставление налоговых вычетов, предусмотренных подпунктами 3 и 4 пункта 1 настоящей статьи, не допускается.</w:t>
      </w:r>
    </w:p>
    <w:p w:rsidR="00F96414" w:rsidRPr="008D27D9" w:rsidRDefault="00F96414">
      <w:pPr>
        <w:rPr>
          <w:rFonts w:ascii="Times New Roman" w:hAnsi="Times New Roman" w:cs="Times New Roman"/>
          <w:sz w:val="24"/>
          <w:szCs w:val="24"/>
        </w:rPr>
      </w:pPr>
    </w:p>
    <w:sectPr w:rsidR="00F96414" w:rsidRPr="008D2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4"/>
    <w:rsid w:val="007A6D04"/>
    <w:rsid w:val="008D27D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68761">
      <w:bodyDiv w:val="1"/>
      <w:marLeft w:val="0"/>
      <w:marRight w:val="0"/>
      <w:marTop w:val="0"/>
      <w:marBottom w:val="0"/>
      <w:divBdr>
        <w:top w:val="none" w:sz="0" w:space="0" w:color="auto"/>
        <w:left w:val="none" w:sz="0" w:space="0" w:color="auto"/>
        <w:bottom w:val="none" w:sz="0" w:space="0" w:color="auto"/>
        <w:right w:val="none" w:sz="0" w:space="0" w:color="auto"/>
      </w:divBdr>
      <w:divsChild>
        <w:div w:id="348259668">
          <w:marLeft w:val="0"/>
          <w:marRight w:val="0"/>
          <w:marTop w:val="0"/>
          <w:marBottom w:val="0"/>
          <w:divBdr>
            <w:top w:val="none" w:sz="0" w:space="0" w:color="auto"/>
            <w:left w:val="none" w:sz="0" w:space="0" w:color="auto"/>
            <w:bottom w:val="none" w:sz="0" w:space="0" w:color="auto"/>
            <w:right w:val="none" w:sz="0" w:space="0" w:color="auto"/>
          </w:divBdr>
        </w:div>
        <w:div w:id="169738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3249</Words>
  <Characters>18523</Characters>
  <Application>Microsoft Office Word</Application>
  <DocSecurity>0</DocSecurity>
  <Lines>154</Lines>
  <Paragraphs>43</Paragraphs>
  <ScaleCrop>false</ScaleCrop>
  <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2016-02-18T11:50:00Z</dcterms:created>
  <dcterms:modified xsi:type="dcterms:W3CDTF">2016-02-18T11:51:00Z</dcterms:modified>
</cp:coreProperties>
</file>