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lineRule="atLeast" w:line="285" w:before="240" w:after="120"/>
        <w:ind w:left="0" w:right="0" w:firstLine="547"/>
        <w:jc w:val="both"/>
        <w:rPr>
          <w:b/>
          <w:color w:val="000000"/>
        </w:rPr>
      </w:pPr>
      <w:r>
        <w:rPr>
          <w:b/>
          <w:color w:val="000000"/>
        </w:rPr>
        <w:t>ГК РФ Статья 181. Сроки исковой давности по недействительным сделкам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tLeast" w:line="255"/>
        <w:jc w:val="both"/>
        <w:rPr/>
      </w:pPr>
      <w:r>
        <w:rPr>
          <w:b w:val="false"/>
          <w:color w:val="000000"/>
        </w:rPr>
        <w:t>(в ред. Федерального </w:t>
      </w:r>
      <w:r>
        <w:fldChar w:fldCharType="begin"/>
      </w:r>
      <w:r>
        <w:instrText> HYPERLINK "http://www.consultant.ru/document/cons_doc_LAW_54522/3d0cac60971a511280cbba229d9b6329c07731f7/" \l "dst100009"</w:instrText>
      </w:r>
      <w:r>
        <w:fldChar w:fldCharType="separate"/>
      </w:r>
      <w:r>
        <w:rPr>
          <w:rStyle w:val="InternetLink"/>
          <w:b w:val="false"/>
          <w:strike w:val="false"/>
          <w:dstrike w:val="false"/>
          <w:color w:val="666699"/>
          <w:u w:val="none"/>
          <w:effect w:val="none"/>
        </w:rPr>
        <w:t>закона</w:t>
      </w:r>
      <w:r>
        <w:fldChar w:fldCharType="end"/>
      </w:r>
      <w:r>
        <w:rPr>
          <w:b w:val="false"/>
          <w:color w:val="000000"/>
        </w:rPr>
        <w:t> от 21.07.2005 N 109-ФЗ)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tLeast" w:line="360"/>
        <w:jc w:val="right"/>
        <w:rPr/>
      </w:pPr>
      <w:r>
        <w:rPr>
          <w:b w:val="false"/>
        </w:rPr>
        <w:t>(см. текст в предыдущей </w:t>
      </w:r>
      <w:bookmarkStart w:id="0" w:name="r"/>
      <w:bookmarkEnd w:id="0"/>
      <w:r>
        <w:rPr>
          <w:rStyle w:val="Q"/>
          <w:b w:val="false"/>
          <w:strike w:val="false"/>
          <w:dstrike w:val="false"/>
          <w:color w:val="666699"/>
          <w:u w:val="none"/>
          <w:effect w:val="none"/>
        </w:rPr>
        <w:t>редакции</w:t>
      </w:r>
      <w:r>
        <w:rPr>
          <w:b w:val="false"/>
        </w:rPr>
        <w:t>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jc w:val="left"/>
        <w:rPr/>
      </w:pPr>
      <w:r>
        <w:rPr/>
        <w:t>Позиции высших судов по ст. 181 ГК РФ </w:t>
      </w:r>
      <w:bookmarkStart w:id="1" w:name="r1"/>
      <w:bookmarkEnd w:id="1"/>
      <w:r>
        <w:rPr>
          <w:rStyle w:val="Q"/>
          <w:strike w:val="false"/>
          <w:dstrike w:val="false"/>
          <w:color w:val="666699"/>
          <w:u w:val="none"/>
          <w:effect w:val="none"/>
        </w:rPr>
        <w:t>&gt;&gt;&gt;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jc w:val="both"/>
        <w:rPr>
          <w:b w:val="false"/>
        </w:rPr>
      </w:pPr>
      <w:r>
        <w:rPr>
          <w:b w:val="false"/>
        </w:rPr>
        <w:t>КонсультантПлюс: примечание.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jc w:val="both"/>
        <w:rPr/>
      </w:pPr>
      <w:r>
        <w:rPr>
          <w:b w:val="false"/>
        </w:rPr>
        <w:t>10-летний срок, указанный в п. 1 ст. 181, </w:t>
      </w:r>
      <w:r>
        <w:fldChar w:fldCharType="begin"/>
      </w:r>
      <w:r>
        <w:instrText> HYPERLINK "http://www.consultant.ru/document/cons_doc_LAW_145981/30b3f8c55f65557c253227a65b908cc075ce114a/" \l "dst1"</w:instrText>
      </w:r>
      <w:r>
        <w:fldChar w:fldCharType="separate"/>
      </w:r>
      <w:r>
        <w:rPr>
          <w:rStyle w:val="InternetLink"/>
          <w:b w:val="false"/>
          <w:strike w:val="false"/>
          <w:dstrike w:val="false"/>
          <w:color w:val="666699"/>
          <w:u w:val="none"/>
          <w:effect w:val="none"/>
        </w:rPr>
        <w:t>начинает течь</w:t>
      </w:r>
      <w:r>
        <w:fldChar w:fldCharType="end"/>
      </w:r>
      <w:r>
        <w:rPr>
          <w:b w:val="false"/>
        </w:rPr>
        <w:t> с 01.09.2013. Вынесенный до 09.01.2017 отказ в удовлетворении иска в связи с истечением этого срока может быть </w:t>
      </w:r>
      <w:r>
        <w:fldChar w:fldCharType="begin"/>
      </w:r>
      <w:r>
        <w:instrText> HYPERLINK "http://www.consultant.ru/document/cons_doc_LAW_209888/b004fed0b70d0f223e4a81f8ad6cd92af90a7e3b/" \l "dst100011"</w:instrText>
      </w:r>
      <w:r>
        <w:fldChar w:fldCharType="separate"/>
      </w:r>
      <w:r>
        <w:rPr>
          <w:rStyle w:val="InternetLink"/>
          <w:b w:val="false"/>
          <w:strike w:val="false"/>
          <w:dstrike w:val="false"/>
          <w:color w:val="666699"/>
          <w:u w:val="none"/>
          <w:effect w:val="none"/>
        </w:rPr>
        <w:t>обжалован</w:t>
      </w:r>
      <w:r>
        <w:fldChar w:fldCharType="end"/>
      </w:r>
      <w:r>
        <w:rPr>
          <w:b w:val="false"/>
        </w:rPr>
        <w:t> (ФЗ от 28.12.2016 N 499-ФЗ).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/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. Срок исковой давности по требованиям о применении последствий недействительности ничтожной сделки и о признании такой сделки недействительной </w:t>
      </w:r>
      <w:r>
        <w:fldChar w:fldCharType="begin"/>
      </w:r>
      <w:r>
        <w:instrText> HYPERLINK "http://www.consultant.ru/document/cons_doc_LAW_5142/44c14b6900a9357b7280c62327f3bfdf1743a52c/" \l "dst359"</w:instrText>
      </w:r>
      <w:r>
        <w:fldChar w:fldCharType="separate"/>
      </w:r>
      <w:r>
        <w:rPr>
          <w:rStyle w:val="InternetLink"/>
          <w:rFonts w:ascii="Arial;Tahoma;Verdana;Helvetica;sans-serif" w:hAnsi="Arial;Tahoma;Verdana;Helvetica;sans-serif"/>
          <w:b w:val="false"/>
          <w:i w:val="false"/>
          <w:caps w:val="false"/>
          <w:smallCaps w:val="false"/>
          <w:strike w:val="false"/>
          <w:dstrike w:val="false"/>
          <w:color w:val="666699"/>
          <w:spacing w:val="0"/>
          <w:sz w:val="24"/>
          <w:u w:val="none"/>
          <w:effect w:val="none"/>
        </w:rPr>
        <w:t>(пункт 3 статьи 166)</w:t>
      </w:r>
      <w:r>
        <w:fldChar w:fldCharType="end"/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 составляет три года. Течение срока исковой давности по указанным требованиям начинается со дня, когда началось исполнение ничтожной сделки, а в случае предъявления иска лицом, не являющимся стороной сделки, со дня, когда это лицо узнало или должно было узнать о начале ее исполнения. При этом срок исковой давности для лица, не являющегося стороной сделки, во всяком случае не может превышать десять лет со дня начала исполнения сделки.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1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Body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TextBody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tLeast" w:line="255"/>
        <w:jc w:val="both"/>
        <w:rPr/>
      </w:pPr>
      <w:r>
        <w:rPr>
          <w:b w:val="false"/>
          <w:color w:val="000000"/>
        </w:rPr>
        <w:t>(п. 1 в ред. Федерального </w:t>
      </w:r>
      <w:r>
        <w:fldChar w:fldCharType="begin"/>
      </w:r>
      <w:r>
        <w:instrText> HYPERLINK "http://www.consultant.ru/document/cons_doc_LAW_145981/3d0cac60971a511280cbba229d9b6329c07731f7/" \l "dst100118"</w:instrText>
      </w:r>
      <w:r>
        <w:fldChar w:fldCharType="separate"/>
      </w:r>
      <w:r>
        <w:rPr>
          <w:rStyle w:val="InternetLink"/>
          <w:b w:val="false"/>
          <w:strike w:val="false"/>
          <w:dstrike w:val="false"/>
          <w:color w:val="666699"/>
          <w:u w:val="none"/>
          <w:effect w:val="none"/>
        </w:rPr>
        <w:t>закона</w:t>
      </w:r>
      <w:r>
        <w:fldChar w:fldCharType="end"/>
      </w:r>
      <w:r>
        <w:rPr>
          <w:b w:val="false"/>
          <w:color w:val="000000"/>
        </w:rPr>
        <w:t> от 07.05.2013 N 100-ФЗ)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tLeast" w:line="360"/>
        <w:jc w:val="right"/>
        <w:rPr/>
      </w:pPr>
      <w:r>
        <w:rPr>
          <w:b w:val="false"/>
        </w:rPr>
        <w:t>(см. текст в предыдущей </w:t>
      </w:r>
      <w:bookmarkStart w:id="2" w:name="r2"/>
      <w:bookmarkEnd w:id="2"/>
      <w:r>
        <w:rPr>
          <w:rStyle w:val="Q"/>
          <w:b w:val="false"/>
          <w:strike w:val="false"/>
          <w:dstrike w:val="false"/>
          <w:color w:val="666699"/>
          <w:u w:val="none"/>
          <w:effect w:val="none"/>
        </w:rPr>
        <w:t>редакции</w:t>
      </w:r>
      <w:r>
        <w:rPr>
          <w:b w:val="false"/>
        </w:rPr>
        <w:t>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/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2</w:t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.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год. Течение срока исковой давности по указанному требованию начинается со дня прекращения насилия или угрозы, под влиянием которых была совершена сделка </w:t>
      </w:r>
      <w:r>
        <w:fldChar w:fldCharType="begin"/>
      </w:r>
      <w:r>
        <w:instrText> HYPERLINK "http://www.consultant.ru/document/cons_doc_LAW_5142/f5742b6373038a15f928a5e6cdb18017fbca5e62/" \l "dst404"</w:instrText>
      </w:r>
      <w:r>
        <w:fldChar w:fldCharType="separate"/>
      </w:r>
      <w:r>
        <w:rPr>
          <w:rStyle w:val="InternetLink"/>
          <w:rFonts w:ascii="Arial;Tahoma;Verdana;Helvetica;sans-serif" w:hAnsi="Arial;Tahoma;Verdana;Helvetica;sans-serif"/>
          <w:b w:val="false"/>
          <w:i w:val="false"/>
          <w:caps w:val="false"/>
          <w:smallCaps w:val="false"/>
          <w:strike w:val="false"/>
          <w:dstrike w:val="false"/>
          <w:color w:val="666699"/>
          <w:spacing w:val="0"/>
          <w:sz w:val="24"/>
          <w:u w:val="none"/>
          <w:effect w:val="none"/>
        </w:rPr>
        <w:t>(пункт 1 статьи 179)</w:t>
      </w:r>
      <w:r>
        <w:fldChar w:fldCharType="end"/>
      </w: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, либо со дня, когда истец узнал или должен был узнать об иных обстоятельствах, являющихся основанием для признания сделки недействительной.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2400" cy="175260"/>
                <wp:effectExtent l="0" t="0" r="0" b="0"/>
                <wp:wrapNone/>
                <wp:docPr id="2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extBody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pt;height:13.8pt;mso-wrap-distance-left:0pt;mso-wrap-distance-right:0pt;mso-wrap-distance-top:0pt;mso-wrap-distance-bottom:0pt;margin-top:0pt;mso-position-vertical:top;mso-position-vertical-relative:text;margin-left:0pt;mso-position-horizontal-relative:page">
                <v:textbox inset="0in,0in,0in,0in">
                  <w:txbxContent>
                    <w:p>
                      <w:pPr>
                        <w:pStyle w:val="TextBody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widowControl/>
        <w:spacing w:lineRule="atLeast" w:line="285"/>
        <w:jc w:val="both"/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Tahoma;Verdana;Helvetica;sans-serif" w:hAnsi="Arial;Tahoma;Verdana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lineRule="auto" w:line="288" w:before="0" w:after="140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Tahom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ru-RU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Q">
    <w:name w:val="q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282</TotalTime>
  <Application>LibreOffice/5.1.4.2$Linux_X86_64 LibreOffice_project/10m0$Build-2</Application>
  <Pages>1</Pages>
  <Words>233</Words>
  <Characters>1358</Characters>
  <CharactersWithSpaces>1584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2017-12-04T13:41:16Z</dcterms:modified>
  <cp:revision>16</cp:revision>
  <dc:subject/>
  <dc:title/>
</cp:coreProperties>
</file>